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0" w:type="pct"/>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3489"/>
        <w:gridCol w:w="1489"/>
        <w:gridCol w:w="1489"/>
        <w:gridCol w:w="1303"/>
        <w:gridCol w:w="1303"/>
      </w:tblGrid>
      <w:tr w:rsidR="007E2962" w:rsidRPr="007E2962" w:rsidTr="007E2962">
        <w:trPr>
          <w:tblHeader/>
        </w:trPr>
        <w:tc>
          <w:tcPr>
            <w:tcW w:w="0" w:type="auto"/>
            <w:gridSpan w:val="5"/>
            <w:tcBorders>
              <w:top w:val="nil"/>
              <w:left w:val="nil"/>
              <w:bottom w:val="nil"/>
              <w:right w:val="nil"/>
            </w:tcBorders>
            <w:shd w:val="clear" w:color="auto" w:fill="EDEBE0"/>
            <w:tcMar>
              <w:top w:w="60" w:type="dxa"/>
              <w:left w:w="60" w:type="dxa"/>
              <w:bottom w:w="60" w:type="dxa"/>
              <w:right w:w="60" w:type="dxa"/>
            </w:tcMar>
            <w:vAlign w:val="center"/>
            <w:hideMark/>
          </w:tcPr>
          <w:p w:rsidR="007E2962" w:rsidRPr="007E2962" w:rsidRDefault="007E2962" w:rsidP="007E2962">
            <w:pPr>
              <w:spacing w:after="75" w:line="240" w:lineRule="auto"/>
              <w:rPr>
                <w:rFonts w:ascii="Verdana" w:eastAsia="Times New Roman" w:hAnsi="Verdana" w:cs="Times New Roman"/>
                <w:sz w:val="14"/>
                <w:szCs w:val="14"/>
                <w:lang w:eastAsia="en-AU"/>
              </w:rPr>
            </w:pPr>
            <w:r w:rsidRPr="007E2962">
              <w:rPr>
                <w:rFonts w:ascii="Verdana" w:eastAsia="Times New Roman" w:hAnsi="Verdana" w:cs="Times New Roman"/>
                <w:b/>
                <w:bCs/>
                <w:sz w:val="14"/>
                <w:szCs w:val="14"/>
                <w:lang w:eastAsia="en-AU"/>
              </w:rPr>
              <w:t>Table 62:</w:t>
            </w:r>
            <w:r w:rsidRPr="007E2962">
              <w:rPr>
                <w:rFonts w:ascii="Verdana" w:eastAsia="Times New Roman" w:hAnsi="Verdana" w:cs="Times New Roman"/>
                <w:sz w:val="14"/>
                <w:szCs w:val="14"/>
                <w:lang w:eastAsia="en-AU"/>
              </w:rPr>
              <w:t xml:space="preserve"> Centrelink payments merit review outcomes</w:t>
            </w:r>
          </w:p>
        </w:tc>
      </w:tr>
      <w:tr w:rsidR="007E2962" w:rsidRPr="007E2962" w:rsidTr="007E2962">
        <w:trPr>
          <w:tblHeader/>
        </w:trPr>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7E2962" w:rsidRPr="007E2962" w:rsidRDefault="007E2962" w:rsidP="007E2962">
            <w:pPr>
              <w:spacing w:after="0" w:line="240" w:lineRule="auto"/>
              <w:jc w:val="center"/>
              <w:rPr>
                <w:rFonts w:ascii="Verdana" w:eastAsia="Times New Roman" w:hAnsi="Verdana" w:cs="Times New Roman"/>
                <w:b/>
                <w:bCs/>
                <w:color w:val="000000"/>
                <w:sz w:val="17"/>
                <w:szCs w:val="17"/>
                <w:lang w:eastAsia="en-AU"/>
              </w:rPr>
            </w:pPr>
            <w:r w:rsidRPr="007E2962">
              <w:rPr>
                <w:rFonts w:ascii="Verdana" w:eastAsia="Times New Roman" w:hAnsi="Verdana" w:cs="Times New Roman"/>
                <w:b/>
                <w:bCs/>
                <w:color w:val="000000"/>
                <w:sz w:val="17"/>
                <w:szCs w:val="17"/>
                <w:lang w:eastAsia="en-AU"/>
              </w:rPr>
              <w:t> </w:t>
            </w:r>
          </w:p>
        </w:tc>
        <w:tc>
          <w:tcPr>
            <w:tcW w:w="0" w:type="auto"/>
            <w:gridSpan w:val="2"/>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7E2962" w:rsidRPr="007E2962" w:rsidRDefault="007E2962" w:rsidP="007E2962">
            <w:pPr>
              <w:spacing w:after="0" w:line="240" w:lineRule="auto"/>
              <w:jc w:val="center"/>
              <w:rPr>
                <w:rFonts w:ascii="Verdana" w:eastAsia="Times New Roman" w:hAnsi="Verdana" w:cs="Times New Roman"/>
                <w:b/>
                <w:bCs/>
                <w:color w:val="000000"/>
                <w:sz w:val="17"/>
                <w:szCs w:val="17"/>
                <w:lang w:eastAsia="en-AU"/>
              </w:rPr>
            </w:pPr>
            <w:r w:rsidRPr="007E2962">
              <w:rPr>
                <w:rFonts w:ascii="Verdana" w:eastAsia="Times New Roman" w:hAnsi="Verdana" w:cs="Times New Roman"/>
                <w:b/>
                <w:bCs/>
                <w:color w:val="000000"/>
                <w:sz w:val="17"/>
                <w:szCs w:val="17"/>
                <w:lang w:eastAsia="en-AU"/>
              </w:rPr>
              <w:t>Unchanged decisions</w:t>
            </w:r>
            <w:r w:rsidRPr="007E2962">
              <w:rPr>
                <w:rFonts w:ascii="Verdana" w:eastAsia="Times New Roman" w:hAnsi="Verdana" w:cs="Times New Roman"/>
                <w:b/>
                <w:bCs/>
                <w:color w:val="000000"/>
                <w:sz w:val="17"/>
                <w:szCs w:val="17"/>
                <w:vertAlign w:val="superscript"/>
                <w:lang w:eastAsia="en-AU"/>
              </w:rPr>
              <w:t>1</w:t>
            </w:r>
          </w:p>
        </w:tc>
        <w:tc>
          <w:tcPr>
            <w:tcW w:w="0" w:type="auto"/>
            <w:gridSpan w:val="2"/>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7E2962" w:rsidRPr="007E2962" w:rsidRDefault="007E2962" w:rsidP="007E2962">
            <w:pPr>
              <w:spacing w:after="0" w:line="240" w:lineRule="auto"/>
              <w:jc w:val="center"/>
              <w:rPr>
                <w:rFonts w:ascii="Verdana" w:eastAsia="Times New Roman" w:hAnsi="Verdana" w:cs="Times New Roman"/>
                <w:b/>
                <w:bCs/>
                <w:color w:val="000000"/>
                <w:sz w:val="17"/>
                <w:szCs w:val="17"/>
                <w:lang w:eastAsia="en-AU"/>
              </w:rPr>
            </w:pPr>
            <w:r w:rsidRPr="007E2962">
              <w:rPr>
                <w:rFonts w:ascii="Verdana" w:eastAsia="Times New Roman" w:hAnsi="Verdana" w:cs="Times New Roman"/>
                <w:b/>
                <w:bCs/>
                <w:color w:val="000000"/>
                <w:sz w:val="17"/>
                <w:szCs w:val="17"/>
                <w:lang w:eastAsia="en-AU"/>
              </w:rPr>
              <w:t>Changed decisions</w:t>
            </w:r>
          </w:p>
        </w:tc>
      </w:tr>
      <w:tr w:rsidR="007E2962" w:rsidRPr="007E2962" w:rsidTr="007E2962">
        <w:trPr>
          <w:tblHeader/>
        </w:trPr>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7E2962" w:rsidRPr="007E2962" w:rsidRDefault="007E2962" w:rsidP="007E2962">
            <w:pPr>
              <w:spacing w:after="0" w:line="240" w:lineRule="auto"/>
              <w:jc w:val="center"/>
              <w:rPr>
                <w:rFonts w:ascii="Verdana" w:eastAsia="Times New Roman" w:hAnsi="Verdana" w:cs="Times New Roman"/>
                <w:b/>
                <w:bCs/>
                <w:color w:val="000000"/>
                <w:sz w:val="17"/>
                <w:szCs w:val="17"/>
                <w:lang w:eastAsia="en-AU"/>
              </w:rPr>
            </w:pPr>
            <w:r w:rsidRPr="007E2962">
              <w:rPr>
                <w:rFonts w:ascii="Verdana" w:eastAsia="Times New Roman" w:hAnsi="Verdana" w:cs="Times New Roman"/>
                <w:b/>
                <w:bCs/>
                <w:color w:val="000000"/>
                <w:sz w:val="17"/>
                <w:szCs w:val="17"/>
                <w:lang w:eastAsia="en-AU"/>
              </w:rPr>
              <w:t> </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b/>
                <w:bCs/>
                <w:color w:val="000000"/>
                <w:sz w:val="17"/>
                <w:szCs w:val="17"/>
                <w:lang w:eastAsia="en-AU"/>
              </w:rPr>
            </w:pPr>
            <w:r w:rsidRPr="007E2962">
              <w:rPr>
                <w:rFonts w:ascii="Verdana" w:eastAsia="Times New Roman" w:hAnsi="Verdana" w:cs="Times New Roman"/>
                <w:b/>
                <w:bCs/>
                <w:color w:val="000000"/>
                <w:sz w:val="17"/>
                <w:szCs w:val="17"/>
                <w:lang w:eastAsia="en-AU"/>
              </w:rPr>
              <w:t>2011–12</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b/>
                <w:bCs/>
                <w:color w:val="000000"/>
                <w:sz w:val="17"/>
                <w:szCs w:val="17"/>
                <w:lang w:eastAsia="en-AU"/>
              </w:rPr>
            </w:pPr>
            <w:r w:rsidRPr="007E2962">
              <w:rPr>
                <w:rFonts w:ascii="Verdana" w:eastAsia="Times New Roman" w:hAnsi="Verdana" w:cs="Times New Roman"/>
                <w:b/>
                <w:bCs/>
                <w:color w:val="000000"/>
                <w:sz w:val="17"/>
                <w:szCs w:val="17"/>
                <w:lang w:eastAsia="en-AU"/>
              </w:rPr>
              <w:t>2012–13</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b/>
                <w:bCs/>
                <w:color w:val="000000"/>
                <w:sz w:val="17"/>
                <w:szCs w:val="17"/>
                <w:lang w:eastAsia="en-AU"/>
              </w:rPr>
            </w:pPr>
            <w:r w:rsidRPr="007E2962">
              <w:rPr>
                <w:rFonts w:ascii="Verdana" w:eastAsia="Times New Roman" w:hAnsi="Verdana" w:cs="Times New Roman"/>
                <w:b/>
                <w:bCs/>
                <w:color w:val="000000"/>
                <w:sz w:val="17"/>
                <w:szCs w:val="17"/>
                <w:lang w:eastAsia="en-AU"/>
              </w:rPr>
              <w:t>2011–12</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b/>
                <w:bCs/>
                <w:color w:val="000000"/>
                <w:sz w:val="17"/>
                <w:szCs w:val="17"/>
                <w:lang w:eastAsia="en-AU"/>
              </w:rPr>
            </w:pPr>
            <w:r w:rsidRPr="007E2962">
              <w:rPr>
                <w:rFonts w:ascii="Verdana" w:eastAsia="Times New Roman" w:hAnsi="Verdana" w:cs="Times New Roman"/>
                <w:b/>
                <w:bCs/>
                <w:color w:val="000000"/>
                <w:sz w:val="17"/>
                <w:szCs w:val="17"/>
                <w:lang w:eastAsia="en-AU"/>
              </w:rPr>
              <w:t>2012–13</w:t>
            </w:r>
          </w:p>
        </w:tc>
      </w:tr>
      <w:tr w:rsidR="007E2962" w:rsidRPr="007E2962" w:rsidTr="007E2962">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Internal review officer</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67.3%</w:t>
            </w:r>
            <w:r w:rsidRPr="007E2962">
              <w:rPr>
                <w:rFonts w:ascii="Verdana" w:eastAsia="Times New Roman" w:hAnsi="Verdana" w:cs="Times New Roman"/>
                <w:sz w:val="17"/>
                <w:szCs w:val="17"/>
                <w:lang w:eastAsia="en-AU"/>
              </w:rPr>
              <w:br/>
              <w:t>(59,390)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63.9%</w:t>
            </w:r>
            <w:r w:rsidRPr="007E2962">
              <w:rPr>
                <w:rFonts w:ascii="Verdana" w:eastAsia="Times New Roman" w:hAnsi="Verdana" w:cs="Times New Roman"/>
                <w:sz w:val="17"/>
                <w:szCs w:val="17"/>
                <w:lang w:eastAsia="en-AU"/>
              </w:rPr>
              <w:br/>
              <w:t>(78,960)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32.7%</w:t>
            </w:r>
            <w:r w:rsidRPr="007E2962">
              <w:rPr>
                <w:rFonts w:ascii="Verdana" w:eastAsia="Times New Roman" w:hAnsi="Verdana" w:cs="Times New Roman"/>
                <w:sz w:val="17"/>
                <w:szCs w:val="17"/>
                <w:lang w:eastAsia="en-AU"/>
              </w:rPr>
              <w:br/>
              <w:t>(28,811)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36.1%</w:t>
            </w:r>
            <w:r w:rsidRPr="007E2962">
              <w:rPr>
                <w:rFonts w:ascii="Verdana" w:eastAsia="Times New Roman" w:hAnsi="Verdana" w:cs="Times New Roman"/>
                <w:sz w:val="17"/>
                <w:szCs w:val="17"/>
                <w:lang w:eastAsia="en-AU"/>
              </w:rPr>
              <w:br/>
              <w:t>(44,566)</w:t>
            </w:r>
          </w:p>
        </w:tc>
      </w:tr>
      <w:tr w:rsidR="007E2962" w:rsidRPr="007E2962" w:rsidTr="007E2962">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SSAT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73.1%</w:t>
            </w:r>
            <w:r w:rsidRPr="007E2962">
              <w:rPr>
                <w:rFonts w:ascii="Verdana" w:eastAsia="Times New Roman" w:hAnsi="Verdana" w:cs="Times New Roman"/>
                <w:sz w:val="17"/>
                <w:szCs w:val="17"/>
                <w:lang w:eastAsia="en-AU"/>
              </w:rPr>
              <w:br/>
              <w:t>(7,091)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76.9%</w:t>
            </w:r>
            <w:r w:rsidRPr="007E2962">
              <w:rPr>
                <w:rFonts w:ascii="Verdana" w:eastAsia="Times New Roman" w:hAnsi="Verdana" w:cs="Times New Roman"/>
                <w:sz w:val="17"/>
                <w:szCs w:val="17"/>
                <w:lang w:eastAsia="en-AU"/>
              </w:rPr>
              <w:br/>
              <w:t>(9,002)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26.9%</w:t>
            </w:r>
            <w:r w:rsidRPr="007E2962">
              <w:rPr>
                <w:rFonts w:ascii="Verdana" w:eastAsia="Times New Roman" w:hAnsi="Verdana" w:cs="Times New Roman"/>
                <w:sz w:val="17"/>
                <w:szCs w:val="17"/>
                <w:lang w:eastAsia="en-AU"/>
              </w:rPr>
              <w:br/>
              <w:t>(2,608)</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23.1%</w:t>
            </w:r>
            <w:r w:rsidRPr="007E2962">
              <w:rPr>
                <w:rFonts w:ascii="Verdana" w:eastAsia="Times New Roman" w:hAnsi="Verdana" w:cs="Times New Roman"/>
                <w:sz w:val="17"/>
                <w:szCs w:val="17"/>
                <w:lang w:eastAsia="en-AU"/>
              </w:rPr>
              <w:br/>
              <w:t>(2,707)</w:t>
            </w:r>
          </w:p>
        </w:tc>
      </w:tr>
      <w:tr w:rsidR="007E2962" w:rsidRPr="007E2962" w:rsidTr="007E2962">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AAT—customer applications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70.2%</w:t>
            </w:r>
            <w:r w:rsidRPr="007E2962">
              <w:rPr>
                <w:rFonts w:ascii="Verdana" w:eastAsia="Times New Roman" w:hAnsi="Verdana" w:cs="Times New Roman"/>
                <w:sz w:val="17"/>
                <w:szCs w:val="17"/>
                <w:lang w:eastAsia="en-AU"/>
              </w:rPr>
              <w:br/>
              <w:t>(1,131)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92.5%</w:t>
            </w:r>
            <w:r w:rsidRPr="007E2962">
              <w:rPr>
                <w:rFonts w:ascii="Verdana" w:eastAsia="Times New Roman" w:hAnsi="Verdana" w:cs="Times New Roman"/>
                <w:sz w:val="17"/>
                <w:szCs w:val="17"/>
                <w:lang w:eastAsia="en-AU"/>
              </w:rPr>
              <w:br/>
              <w:t>(1,651)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29.8%</w:t>
            </w:r>
            <w:r w:rsidRPr="007E2962">
              <w:rPr>
                <w:rFonts w:ascii="Verdana" w:eastAsia="Times New Roman" w:hAnsi="Verdana" w:cs="Times New Roman"/>
                <w:sz w:val="17"/>
                <w:szCs w:val="17"/>
                <w:lang w:eastAsia="en-AU"/>
              </w:rPr>
              <w:br/>
              <w:t>(479)</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7.5%</w:t>
            </w:r>
            <w:r w:rsidRPr="007E2962">
              <w:rPr>
                <w:rFonts w:ascii="Verdana" w:eastAsia="Times New Roman" w:hAnsi="Verdana" w:cs="Times New Roman"/>
                <w:sz w:val="17"/>
                <w:szCs w:val="17"/>
                <w:lang w:eastAsia="en-AU"/>
              </w:rPr>
              <w:br/>
              <w:t>(134)</w:t>
            </w:r>
          </w:p>
        </w:tc>
      </w:tr>
      <w:tr w:rsidR="007E2962" w:rsidRPr="007E2962" w:rsidTr="007E2962">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AAT—Secretary applications</w:t>
            </w:r>
            <w:r w:rsidRPr="007E2962">
              <w:rPr>
                <w:rFonts w:ascii="Verdana" w:eastAsia="Times New Roman" w:hAnsi="Verdana" w:cs="Times New Roman"/>
                <w:sz w:val="17"/>
                <w:szCs w:val="17"/>
                <w:vertAlign w:val="superscript"/>
                <w:lang w:eastAsia="en-AU"/>
              </w:rPr>
              <w:t>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74.4%</w:t>
            </w:r>
            <w:r w:rsidRPr="007E2962">
              <w:rPr>
                <w:rFonts w:ascii="Verdana" w:eastAsia="Times New Roman" w:hAnsi="Verdana" w:cs="Times New Roman"/>
                <w:sz w:val="17"/>
                <w:szCs w:val="17"/>
                <w:lang w:eastAsia="en-AU"/>
              </w:rPr>
              <w:br/>
              <w:t>(32)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57.1%</w:t>
            </w:r>
            <w:r w:rsidRPr="007E2962">
              <w:rPr>
                <w:rFonts w:ascii="Verdana" w:eastAsia="Times New Roman" w:hAnsi="Verdana" w:cs="Times New Roman"/>
                <w:sz w:val="17"/>
                <w:szCs w:val="17"/>
                <w:lang w:eastAsia="en-AU"/>
              </w:rPr>
              <w:br/>
              <w:t>(28)</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25.6%</w:t>
            </w:r>
            <w:r w:rsidRPr="007E2962">
              <w:rPr>
                <w:rFonts w:ascii="Verdana" w:eastAsia="Times New Roman" w:hAnsi="Verdana" w:cs="Times New Roman"/>
                <w:sz w:val="17"/>
                <w:szCs w:val="17"/>
                <w:lang w:eastAsia="en-AU"/>
              </w:rPr>
              <w:br/>
              <w:t>(11)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7E2962" w:rsidRPr="007E2962" w:rsidRDefault="007E2962" w:rsidP="007E2962">
            <w:pPr>
              <w:spacing w:after="0" w:line="240" w:lineRule="auto"/>
              <w:jc w:val="right"/>
              <w:rPr>
                <w:rFonts w:ascii="Verdana" w:eastAsia="Times New Roman" w:hAnsi="Verdana" w:cs="Times New Roman"/>
                <w:sz w:val="17"/>
                <w:szCs w:val="17"/>
                <w:lang w:eastAsia="en-AU"/>
              </w:rPr>
            </w:pPr>
            <w:r w:rsidRPr="007E2962">
              <w:rPr>
                <w:rFonts w:ascii="Verdana" w:eastAsia="Times New Roman" w:hAnsi="Verdana" w:cs="Times New Roman"/>
                <w:sz w:val="17"/>
                <w:szCs w:val="17"/>
                <w:lang w:eastAsia="en-AU"/>
              </w:rPr>
              <w:t>42.9%</w:t>
            </w:r>
            <w:r w:rsidRPr="007E2962">
              <w:rPr>
                <w:rFonts w:ascii="Verdana" w:eastAsia="Times New Roman" w:hAnsi="Verdana" w:cs="Times New Roman"/>
                <w:sz w:val="17"/>
                <w:szCs w:val="17"/>
                <w:lang w:eastAsia="en-AU"/>
              </w:rPr>
              <w:br/>
              <w:t>(21)</w:t>
            </w:r>
          </w:p>
        </w:tc>
      </w:tr>
    </w:tbl>
    <w:p w:rsidR="007E2962" w:rsidRDefault="007E2962" w:rsidP="007E2962">
      <w:pPr>
        <w:shd w:val="clear" w:color="auto" w:fill="FFFFFF"/>
        <w:spacing w:after="170" w:line="240" w:lineRule="auto"/>
        <w:rPr>
          <w:rFonts w:ascii="Verdana" w:eastAsia="Times New Roman" w:hAnsi="Verdana" w:cs="Times New Roman"/>
          <w:sz w:val="15"/>
          <w:szCs w:val="15"/>
          <w:lang w:val="en" w:eastAsia="en-AU"/>
        </w:rPr>
      </w:pPr>
    </w:p>
    <w:p w:rsidR="007E2962" w:rsidRPr="007E2962" w:rsidRDefault="007E2962" w:rsidP="007E2962">
      <w:pPr>
        <w:shd w:val="clear" w:color="auto" w:fill="FFFFFF"/>
        <w:spacing w:after="170" w:line="240" w:lineRule="auto"/>
        <w:rPr>
          <w:rFonts w:ascii="Verdana" w:eastAsia="Times New Roman" w:hAnsi="Verdana" w:cs="Times New Roman"/>
          <w:sz w:val="15"/>
          <w:szCs w:val="15"/>
          <w:lang w:val="en" w:eastAsia="en-AU"/>
        </w:rPr>
      </w:pPr>
      <w:r w:rsidRPr="007E2962">
        <w:rPr>
          <w:rFonts w:ascii="Verdana" w:eastAsia="Times New Roman" w:hAnsi="Verdana" w:cs="Times New Roman"/>
          <w:sz w:val="15"/>
          <w:szCs w:val="15"/>
          <w:lang w:val="en" w:eastAsia="en-AU"/>
        </w:rPr>
        <w:t>1. Unchanged decisions include withdrawals for a number of reasons.</w:t>
      </w:r>
    </w:p>
    <w:p w:rsidR="007E2962" w:rsidRPr="007E2962" w:rsidRDefault="007E2962" w:rsidP="007E2962">
      <w:pPr>
        <w:shd w:val="clear" w:color="auto" w:fill="FFFFFF"/>
        <w:spacing w:after="170" w:line="240" w:lineRule="auto"/>
        <w:rPr>
          <w:rFonts w:ascii="Verdana" w:eastAsia="Times New Roman" w:hAnsi="Verdana" w:cs="Times New Roman"/>
          <w:sz w:val="15"/>
          <w:szCs w:val="15"/>
          <w:lang w:val="en" w:eastAsia="en-AU"/>
        </w:rPr>
      </w:pPr>
      <w:bookmarkStart w:id="0" w:name="_GoBack"/>
      <w:bookmarkEnd w:id="0"/>
      <w:r w:rsidRPr="007E2962">
        <w:rPr>
          <w:rFonts w:ascii="Verdana" w:eastAsia="Times New Roman" w:hAnsi="Verdana" w:cs="Times New Roman"/>
          <w:sz w:val="15"/>
          <w:szCs w:val="15"/>
          <w:lang w:val="en" w:eastAsia="en-AU"/>
        </w:rPr>
        <w:t>2. Secretary applications are managed in accordance with the partner department’s instructions. The Secretary refers to the Secretary of any department where under the Administrative Arrangements Order the Minister of that department has administrative responsibility for part of the social security laws when a decision under that part has a right of appeal to the AAT.</w:t>
      </w:r>
    </w:p>
    <w:p w:rsidR="006F7EF6" w:rsidRPr="007E2962" w:rsidRDefault="006F7EF6" w:rsidP="007E2962"/>
    <w:sectPr w:rsidR="006F7EF6" w:rsidRPr="007E29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1D8"/>
    <w:rsid w:val="004371D8"/>
    <w:rsid w:val="006F7EF6"/>
    <w:rsid w:val="007E29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s90">
    <w:name w:val="fs90"/>
    <w:basedOn w:val="Normal"/>
    <w:rsid w:val="007E2962"/>
    <w:pPr>
      <w:spacing w:after="170" w:line="240" w:lineRule="auto"/>
    </w:pPr>
    <w:rPr>
      <w:rFonts w:ascii="Times New Roman" w:eastAsia="Times New Roman" w:hAnsi="Times New Roman" w:cs="Times New Roman"/>
      <w:lang w:eastAsia="en-AU"/>
    </w:rPr>
  </w:style>
  <w:style w:type="character" w:styleId="Strong">
    <w:name w:val="Strong"/>
    <w:basedOn w:val="DefaultParagraphFont"/>
    <w:uiPriority w:val="22"/>
    <w:qFormat/>
    <w:rsid w:val="007E296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s90">
    <w:name w:val="fs90"/>
    <w:basedOn w:val="Normal"/>
    <w:rsid w:val="007E2962"/>
    <w:pPr>
      <w:spacing w:after="170" w:line="240" w:lineRule="auto"/>
    </w:pPr>
    <w:rPr>
      <w:rFonts w:ascii="Times New Roman" w:eastAsia="Times New Roman" w:hAnsi="Times New Roman" w:cs="Times New Roman"/>
      <w:lang w:eastAsia="en-AU"/>
    </w:rPr>
  </w:style>
  <w:style w:type="character" w:styleId="Strong">
    <w:name w:val="Strong"/>
    <w:basedOn w:val="DefaultParagraphFont"/>
    <w:uiPriority w:val="22"/>
    <w:qFormat/>
    <w:rsid w:val="007E29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5237159">
      <w:bodyDiv w:val="1"/>
      <w:marLeft w:val="0"/>
      <w:marRight w:val="0"/>
      <w:marTop w:val="0"/>
      <w:marBottom w:val="0"/>
      <w:divBdr>
        <w:top w:val="none" w:sz="0" w:space="0" w:color="auto"/>
        <w:left w:val="none" w:sz="0" w:space="0" w:color="auto"/>
        <w:bottom w:val="none" w:sz="0" w:space="0" w:color="auto"/>
        <w:right w:val="none" w:sz="0" w:space="0" w:color="auto"/>
      </w:divBdr>
      <w:divsChild>
        <w:div w:id="42025114">
          <w:marLeft w:val="0"/>
          <w:marRight w:val="0"/>
          <w:marTop w:val="0"/>
          <w:marBottom w:val="0"/>
          <w:divBdr>
            <w:top w:val="none" w:sz="0" w:space="0" w:color="auto"/>
            <w:left w:val="none" w:sz="0" w:space="0" w:color="auto"/>
            <w:bottom w:val="none" w:sz="0" w:space="0" w:color="auto"/>
            <w:right w:val="none" w:sz="0" w:space="0" w:color="auto"/>
          </w:divBdr>
          <w:divsChild>
            <w:div w:id="313802836">
              <w:marLeft w:val="0"/>
              <w:marRight w:val="0"/>
              <w:marTop w:val="0"/>
              <w:marBottom w:val="0"/>
              <w:divBdr>
                <w:top w:val="none" w:sz="0" w:space="0" w:color="auto"/>
                <w:left w:val="none" w:sz="0" w:space="0" w:color="auto"/>
                <w:bottom w:val="none" w:sz="0" w:space="0" w:color="auto"/>
                <w:right w:val="none" w:sz="0" w:space="0" w:color="auto"/>
              </w:divBdr>
              <w:divsChild>
                <w:div w:id="185141572">
                  <w:marLeft w:val="0"/>
                  <w:marRight w:val="0"/>
                  <w:marTop w:val="0"/>
                  <w:marBottom w:val="0"/>
                  <w:divBdr>
                    <w:top w:val="none" w:sz="0" w:space="0" w:color="auto"/>
                    <w:left w:val="none" w:sz="0" w:space="0" w:color="auto"/>
                    <w:bottom w:val="none" w:sz="0" w:space="0" w:color="auto"/>
                    <w:right w:val="none" w:sz="0" w:space="0" w:color="auto"/>
                  </w:divBdr>
                  <w:divsChild>
                    <w:div w:id="1754428007">
                      <w:marLeft w:val="0"/>
                      <w:marRight w:val="0"/>
                      <w:marTop w:val="0"/>
                      <w:marBottom w:val="0"/>
                      <w:divBdr>
                        <w:top w:val="none" w:sz="0" w:space="0" w:color="auto"/>
                        <w:left w:val="none" w:sz="0" w:space="0" w:color="auto"/>
                        <w:bottom w:val="none" w:sz="0" w:space="0" w:color="auto"/>
                        <w:right w:val="none" w:sz="0" w:space="0" w:color="auto"/>
                      </w:divBdr>
                      <w:divsChild>
                        <w:div w:id="8430587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0153753">
      <w:bodyDiv w:val="1"/>
      <w:marLeft w:val="0"/>
      <w:marRight w:val="0"/>
      <w:marTop w:val="0"/>
      <w:marBottom w:val="0"/>
      <w:divBdr>
        <w:top w:val="none" w:sz="0" w:space="0" w:color="auto"/>
        <w:left w:val="none" w:sz="0" w:space="0" w:color="auto"/>
        <w:bottom w:val="none" w:sz="0" w:space="0" w:color="auto"/>
        <w:right w:val="none" w:sz="0" w:space="0" w:color="auto"/>
      </w:divBdr>
      <w:divsChild>
        <w:div w:id="748160007">
          <w:marLeft w:val="0"/>
          <w:marRight w:val="0"/>
          <w:marTop w:val="0"/>
          <w:marBottom w:val="0"/>
          <w:divBdr>
            <w:top w:val="none" w:sz="0" w:space="0" w:color="auto"/>
            <w:left w:val="none" w:sz="0" w:space="0" w:color="auto"/>
            <w:bottom w:val="none" w:sz="0" w:space="0" w:color="auto"/>
            <w:right w:val="none" w:sz="0" w:space="0" w:color="auto"/>
          </w:divBdr>
          <w:divsChild>
            <w:div w:id="353458190">
              <w:marLeft w:val="0"/>
              <w:marRight w:val="0"/>
              <w:marTop w:val="0"/>
              <w:marBottom w:val="0"/>
              <w:divBdr>
                <w:top w:val="none" w:sz="0" w:space="0" w:color="auto"/>
                <w:left w:val="none" w:sz="0" w:space="0" w:color="auto"/>
                <w:bottom w:val="none" w:sz="0" w:space="0" w:color="auto"/>
                <w:right w:val="none" w:sz="0" w:space="0" w:color="auto"/>
              </w:divBdr>
              <w:divsChild>
                <w:div w:id="1813398817">
                  <w:marLeft w:val="0"/>
                  <w:marRight w:val="0"/>
                  <w:marTop w:val="0"/>
                  <w:marBottom w:val="0"/>
                  <w:divBdr>
                    <w:top w:val="none" w:sz="0" w:space="0" w:color="auto"/>
                    <w:left w:val="none" w:sz="0" w:space="0" w:color="auto"/>
                    <w:bottom w:val="none" w:sz="0" w:space="0" w:color="auto"/>
                    <w:right w:val="none" w:sz="0" w:space="0" w:color="auto"/>
                  </w:divBdr>
                  <w:divsChild>
                    <w:div w:id="428277829">
                      <w:marLeft w:val="0"/>
                      <w:marRight w:val="0"/>
                      <w:marTop w:val="0"/>
                      <w:marBottom w:val="0"/>
                      <w:divBdr>
                        <w:top w:val="none" w:sz="0" w:space="0" w:color="auto"/>
                        <w:left w:val="none" w:sz="0" w:space="0" w:color="auto"/>
                        <w:bottom w:val="none" w:sz="0" w:space="0" w:color="auto"/>
                        <w:right w:val="none" w:sz="0" w:space="0" w:color="auto"/>
                      </w:divBdr>
                      <w:divsChild>
                        <w:div w:id="140773340">
                          <w:marLeft w:val="0"/>
                          <w:marRight w:val="0"/>
                          <w:marTop w:val="0"/>
                          <w:marBottom w:val="0"/>
                          <w:divBdr>
                            <w:top w:val="none" w:sz="0" w:space="0" w:color="auto"/>
                            <w:left w:val="none" w:sz="0" w:space="0" w:color="auto"/>
                            <w:bottom w:val="none" w:sz="0" w:space="0" w:color="auto"/>
                            <w:right w:val="none" w:sz="0" w:space="0" w:color="auto"/>
                          </w:divBdr>
                          <w:divsChild>
                            <w:div w:id="92846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740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2014-02-24T04:20:00Z</dcterms:created>
  <dcterms:modified xsi:type="dcterms:W3CDTF">2014-03-04T22:55:00Z</dcterms:modified>
</cp:coreProperties>
</file>